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42B" w14:textId="38619DBE" w:rsidR="00A46A31" w:rsidRPr="00332CF1" w:rsidRDefault="00A46A31" w:rsidP="00E51F45">
      <w:pPr>
        <w:autoSpaceDE w:val="0"/>
        <w:autoSpaceDN w:val="0"/>
        <w:adjustRightInd w:val="0"/>
        <w:spacing w:before="120" w:after="120"/>
        <w:ind w:left="288" w:right="288"/>
        <w:jc w:val="center"/>
        <w:rPr>
          <w:rFonts w:ascii="Arial" w:hAnsi="Arial" w:cs="Arial"/>
          <w:b/>
          <w:bCs/>
          <w:sz w:val="32"/>
          <w:szCs w:val="32"/>
        </w:rPr>
      </w:pPr>
      <w:r w:rsidRPr="00332CF1">
        <w:rPr>
          <w:rFonts w:ascii="Arial" w:hAnsi="Arial" w:cs="Arial"/>
          <w:b/>
          <w:bCs/>
          <w:sz w:val="32"/>
          <w:szCs w:val="32"/>
        </w:rPr>
        <w:t xml:space="preserve">Value-Added Data for Individuals Completing Educator Preparation Programs at </w:t>
      </w:r>
      <w:r w:rsidR="00E51F45">
        <w:rPr>
          <w:rFonts w:ascii="Arial" w:hAnsi="Arial" w:cs="Arial"/>
          <w:b/>
          <w:bCs/>
          <w:sz w:val="32"/>
          <w:szCs w:val="32"/>
        </w:rPr>
        <w:t xml:space="preserve">the </w:t>
      </w:r>
      <w:r w:rsidRPr="00332CF1">
        <w:rPr>
          <w:rFonts w:ascii="Arial" w:hAnsi="Arial" w:cs="Arial"/>
          <w:b/>
          <w:bCs/>
          <w:sz w:val="32"/>
          <w:szCs w:val="32"/>
        </w:rPr>
        <w:t>University</w:t>
      </w:r>
      <w:r w:rsidR="00D27945" w:rsidRPr="00332CF1">
        <w:rPr>
          <w:rFonts w:ascii="Arial" w:hAnsi="Arial" w:cs="Arial"/>
          <w:b/>
          <w:bCs/>
          <w:sz w:val="32"/>
          <w:szCs w:val="32"/>
        </w:rPr>
        <w:t xml:space="preserve"> of Akron</w:t>
      </w:r>
    </w:p>
    <w:p w14:paraId="51C9B3E1" w14:textId="77777777" w:rsidR="00A475B4" w:rsidRDefault="00A475B4" w:rsidP="00A475B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6C5C0821" w14:textId="5270F090" w:rsidR="00A475B4" w:rsidRPr="00C4425A" w:rsidRDefault="00A475B4" w:rsidP="00A475B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4425A">
        <w:rPr>
          <w:rFonts w:ascii="Arial" w:hAnsi="Arial" w:cs="Arial"/>
          <w:b/>
          <w:bCs/>
          <w:sz w:val="24"/>
          <w:szCs w:val="24"/>
        </w:rPr>
        <w:t>Description of Data:</w:t>
      </w:r>
    </w:p>
    <w:p w14:paraId="2B226139" w14:textId="77777777" w:rsidR="00FA3D77" w:rsidRDefault="00FA3D77" w:rsidP="00A475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7AFE73" w14:textId="014462B4" w:rsidR="00A475B4" w:rsidRPr="00FA3D77" w:rsidRDefault="00A475B4" w:rsidP="00A475B4">
      <w:pPr>
        <w:autoSpaceDE w:val="0"/>
        <w:autoSpaceDN w:val="0"/>
        <w:adjustRightInd w:val="0"/>
        <w:rPr>
          <w:rFonts w:ascii="Arial" w:hAnsi="Arial" w:cs="Arial"/>
        </w:rPr>
      </w:pPr>
      <w:r w:rsidRPr="00FA3D77">
        <w:rPr>
          <w:rFonts w:ascii="Arial" w:hAnsi="Arial" w:cs="Arial"/>
        </w:rPr>
        <w:t xml:space="preserve">Ohio's value-added data system provides </w:t>
      </w:r>
      <w:proofErr w:type="gramStart"/>
      <w:r w:rsidRPr="00FA3D77">
        <w:rPr>
          <w:rFonts w:ascii="Arial" w:hAnsi="Arial" w:cs="Arial"/>
        </w:rPr>
        <w:t>educators</w:t>
      </w:r>
      <w:proofErr w:type="gramEnd"/>
      <w:r w:rsidRPr="00FA3D77">
        <w:rPr>
          <w:rFonts w:ascii="Arial" w:hAnsi="Arial" w:cs="Arial"/>
        </w:rPr>
        <w:t xml:space="preserve"> a more complete picture of student growth. As a vital comp</w:t>
      </w:r>
      <w:r w:rsidR="00C4425A" w:rsidRPr="00FA3D77">
        <w:rPr>
          <w:rFonts w:ascii="Arial" w:hAnsi="Arial" w:cs="Arial"/>
        </w:rPr>
        <w:t xml:space="preserve">onent of </w:t>
      </w:r>
      <w:r w:rsidRPr="00FA3D77">
        <w:rPr>
          <w:rFonts w:ascii="Arial" w:hAnsi="Arial" w:cs="Arial"/>
        </w:rPr>
        <w:t>Ohio's accountability system, districts and educators have access to an extensive array</w:t>
      </w:r>
      <w:r w:rsidR="00C4425A" w:rsidRPr="00FA3D77">
        <w:rPr>
          <w:rFonts w:ascii="Arial" w:hAnsi="Arial" w:cs="Arial"/>
        </w:rPr>
        <w:t xml:space="preserve"> of diagnostic data through the </w:t>
      </w:r>
      <w:r w:rsidRPr="00FA3D77">
        <w:rPr>
          <w:rFonts w:ascii="Arial" w:hAnsi="Arial" w:cs="Arial"/>
        </w:rPr>
        <w:t>Education Value-Added Assessment System (EVAAS). Student growth measures also provide students and parents with evidence of the impact of their efforts.</w:t>
      </w:r>
    </w:p>
    <w:p w14:paraId="59804D61" w14:textId="77777777" w:rsidR="00A475B4" w:rsidRPr="00FA3D77" w:rsidRDefault="00A475B4" w:rsidP="00A475B4">
      <w:pPr>
        <w:autoSpaceDE w:val="0"/>
        <w:autoSpaceDN w:val="0"/>
        <w:adjustRightInd w:val="0"/>
        <w:rPr>
          <w:rFonts w:ascii="Arial" w:hAnsi="Arial" w:cs="Arial"/>
        </w:rPr>
      </w:pPr>
      <w:r w:rsidRPr="00FA3D77">
        <w:rPr>
          <w:rFonts w:ascii="Arial" w:hAnsi="Arial" w:cs="Arial"/>
        </w:rPr>
        <w:t>Limitations of the Value-Added Data:</w:t>
      </w:r>
    </w:p>
    <w:p w14:paraId="2A2566A5" w14:textId="4EDFF9DF" w:rsidR="00A475B4" w:rsidRPr="00FA3D77" w:rsidRDefault="00A475B4" w:rsidP="00A475B4">
      <w:pPr>
        <w:autoSpaceDE w:val="0"/>
        <w:autoSpaceDN w:val="0"/>
        <w:adjustRightInd w:val="0"/>
        <w:rPr>
          <w:rFonts w:ascii="Arial" w:hAnsi="Arial" w:cs="Arial"/>
        </w:rPr>
      </w:pPr>
      <w:r w:rsidRPr="00FA3D77">
        <w:rPr>
          <w:rFonts w:ascii="Arial" w:hAnsi="Arial" w:cs="Arial"/>
        </w:rPr>
        <w:t>1. The information in the report is for those individuals receiving their licenses with effective years of 20</w:t>
      </w:r>
      <w:r w:rsidR="004467BD">
        <w:rPr>
          <w:rFonts w:ascii="Arial" w:hAnsi="Arial" w:cs="Arial"/>
        </w:rPr>
        <w:t>1</w:t>
      </w:r>
      <w:r w:rsidR="002352B6">
        <w:rPr>
          <w:rFonts w:ascii="Arial" w:hAnsi="Arial" w:cs="Arial"/>
        </w:rPr>
        <w:t xml:space="preserve">8, 19, </w:t>
      </w:r>
      <w:r w:rsidR="00BD41E8">
        <w:rPr>
          <w:rFonts w:ascii="Arial" w:hAnsi="Arial" w:cs="Arial"/>
        </w:rPr>
        <w:t xml:space="preserve">20 </w:t>
      </w:r>
      <w:r w:rsidR="002352B6">
        <w:rPr>
          <w:rFonts w:ascii="Arial" w:hAnsi="Arial" w:cs="Arial"/>
        </w:rPr>
        <w:t xml:space="preserve">and </w:t>
      </w:r>
      <w:r w:rsidR="004467BD">
        <w:rPr>
          <w:rFonts w:ascii="Arial" w:hAnsi="Arial" w:cs="Arial"/>
        </w:rPr>
        <w:t>2</w:t>
      </w:r>
      <w:r w:rsidR="00BD41E8">
        <w:rPr>
          <w:rFonts w:ascii="Arial" w:hAnsi="Arial" w:cs="Arial"/>
        </w:rPr>
        <w:t>1.</w:t>
      </w:r>
      <w:r w:rsidR="002352B6">
        <w:rPr>
          <w:rFonts w:ascii="Arial" w:hAnsi="Arial" w:cs="Arial"/>
        </w:rPr>
        <w:t xml:space="preserve"> Due to school closure during Cov-19, Ohio did not </w:t>
      </w:r>
      <w:r w:rsidR="00A21EA0">
        <w:rPr>
          <w:rFonts w:ascii="Arial" w:hAnsi="Arial" w:cs="Arial"/>
        </w:rPr>
        <w:t>collect value_ added data for 2020 school performance</w:t>
      </w:r>
      <w:r w:rsidR="00624ADB">
        <w:rPr>
          <w:rFonts w:ascii="Arial" w:hAnsi="Arial" w:cs="Arial"/>
        </w:rPr>
        <w:t>.</w:t>
      </w:r>
      <w:r w:rsidR="00A21EA0">
        <w:rPr>
          <w:rFonts w:ascii="Arial" w:hAnsi="Arial" w:cs="Arial"/>
        </w:rPr>
        <w:t xml:space="preserve"> </w:t>
      </w:r>
    </w:p>
    <w:p w14:paraId="77DF8AB3" w14:textId="77777777" w:rsidR="00A475B4" w:rsidRPr="00FA3D77" w:rsidRDefault="00A475B4" w:rsidP="00A475B4">
      <w:pPr>
        <w:autoSpaceDE w:val="0"/>
        <w:autoSpaceDN w:val="0"/>
        <w:adjustRightInd w:val="0"/>
        <w:rPr>
          <w:rFonts w:ascii="Arial" w:hAnsi="Arial" w:cs="Arial"/>
        </w:rPr>
      </w:pPr>
      <w:r w:rsidRPr="00FA3D77">
        <w:rPr>
          <w:rFonts w:ascii="Arial" w:hAnsi="Arial" w:cs="Arial"/>
        </w:rPr>
        <w:t>2. The value-added data in this report are those reported by Ohio's Education Value-Added Assessment System (EVAAS) based on reading and mathematics achievement tests in grades 4-8.</w:t>
      </w:r>
    </w:p>
    <w:p w14:paraId="0155B9A3" w14:textId="77777777" w:rsidR="00A46A31" w:rsidRDefault="00A46A31" w:rsidP="00A46A3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50BF5DC8" w14:textId="77777777" w:rsidR="006912CD" w:rsidRPr="00C4425A" w:rsidRDefault="006912CD" w:rsidP="00C4425A">
      <w:pPr>
        <w:rPr>
          <w:rFonts w:ascii="Arial" w:hAnsi="Arial" w:cs="Arial"/>
          <w:b/>
          <w:sz w:val="28"/>
          <w:szCs w:val="28"/>
        </w:rPr>
      </w:pPr>
      <w:r w:rsidRPr="00C4425A">
        <w:rPr>
          <w:rFonts w:ascii="Arial" w:hAnsi="Arial" w:cs="Arial"/>
          <w:b/>
          <w:sz w:val="28"/>
          <w:szCs w:val="28"/>
        </w:rPr>
        <w:t>Data Analysis:</w:t>
      </w:r>
    </w:p>
    <w:p w14:paraId="587DAB01" w14:textId="77777777" w:rsidR="00C75D6E" w:rsidRPr="00C75D6E" w:rsidRDefault="00C75D6E" w:rsidP="00C75D6E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68163980" w14:textId="319DC135" w:rsidR="006912CD" w:rsidRPr="0000669A" w:rsidRDefault="0021326F" w:rsidP="006912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data reported</w:t>
      </w:r>
      <w:r w:rsidR="00E67AA7">
        <w:rPr>
          <w:rFonts w:ascii="Arial" w:hAnsi="Arial" w:cs="Arial"/>
          <w:sz w:val="24"/>
          <w:szCs w:val="24"/>
        </w:rPr>
        <w:t xml:space="preserve"> that 309 completers prepared by the EPP are currently employed in Ohio Education syste</w:t>
      </w:r>
      <w:r w:rsidR="009063C6">
        <w:rPr>
          <w:rFonts w:ascii="Arial" w:hAnsi="Arial" w:cs="Arial"/>
          <w:sz w:val="24"/>
          <w:szCs w:val="24"/>
        </w:rPr>
        <w:t>m, and 88 completers h</w:t>
      </w:r>
      <w:r w:rsidR="00962452">
        <w:rPr>
          <w:rFonts w:ascii="Arial" w:hAnsi="Arial" w:cs="Arial"/>
          <w:sz w:val="24"/>
          <w:szCs w:val="24"/>
        </w:rPr>
        <w:t xml:space="preserve">ave value added </w:t>
      </w:r>
      <w:r w:rsidR="00F63AEA">
        <w:rPr>
          <w:rFonts w:ascii="Arial" w:hAnsi="Arial" w:cs="Arial"/>
          <w:sz w:val="24"/>
          <w:szCs w:val="24"/>
        </w:rPr>
        <w:t>performance</w:t>
      </w:r>
      <w:r w:rsidR="008A682F">
        <w:rPr>
          <w:rFonts w:ascii="Arial" w:hAnsi="Arial" w:cs="Arial"/>
          <w:sz w:val="24"/>
          <w:szCs w:val="24"/>
        </w:rPr>
        <w:t xml:space="preserve">. The data demonstrated that the EPP completers with value added </w:t>
      </w:r>
      <w:r w:rsidR="00564FB5">
        <w:rPr>
          <w:rFonts w:ascii="Arial" w:hAnsi="Arial" w:cs="Arial"/>
          <w:sz w:val="24"/>
          <w:szCs w:val="24"/>
        </w:rPr>
        <w:t xml:space="preserve">data </w:t>
      </w:r>
      <w:r w:rsidR="00564FB5" w:rsidRPr="0000669A">
        <w:rPr>
          <w:rFonts w:ascii="Arial" w:hAnsi="Arial" w:cs="Arial"/>
          <w:sz w:val="24"/>
          <w:szCs w:val="24"/>
        </w:rPr>
        <w:t>outperformed</w:t>
      </w:r>
      <w:r w:rsidR="008A682F">
        <w:rPr>
          <w:rFonts w:ascii="Arial" w:hAnsi="Arial" w:cs="Arial"/>
          <w:sz w:val="24"/>
          <w:szCs w:val="24"/>
        </w:rPr>
        <w:t xml:space="preserve"> the Ohio </w:t>
      </w:r>
      <w:r w:rsidR="009B7A6E">
        <w:rPr>
          <w:rFonts w:ascii="Arial" w:hAnsi="Arial" w:cs="Arial"/>
          <w:sz w:val="24"/>
          <w:szCs w:val="24"/>
        </w:rPr>
        <w:t>completer</w:t>
      </w:r>
      <w:r w:rsidR="00564FB5">
        <w:rPr>
          <w:rFonts w:ascii="Arial" w:hAnsi="Arial" w:cs="Arial"/>
          <w:sz w:val="24"/>
          <w:szCs w:val="24"/>
        </w:rPr>
        <w:t>s</w:t>
      </w:r>
      <w:r w:rsidR="009B7A6E">
        <w:rPr>
          <w:rFonts w:ascii="Arial" w:hAnsi="Arial" w:cs="Arial"/>
          <w:sz w:val="24"/>
          <w:szCs w:val="24"/>
        </w:rPr>
        <w:t>. Th</w:t>
      </w:r>
      <w:r w:rsidR="00564FB5">
        <w:rPr>
          <w:rFonts w:ascii="Arial" w:hAnsi="Arial" w:cs="Arial"/>
          <w:sz w:val="24"/>
          <w:szCs w:val="24"/>
        </w:rPr>
        <w:t xml:space="preserve">is conclusion is demonstrated </w:t>
      </w:r>
      <w:r w:rsidR="00277965">
        <w:rPr>
          <w:rFonts w:ascii="Arial" w:hAnsi="Arial" w:cs="Arial"/>
          <w:sz w:val="24"/>
          <w:szCs w:val="24"/>
        </w:rPr>
        <w:t>by the</w:t>
      </w:r>
      <w:r w:rsidR="009B7A6E">
        <w:rPr>
          <w:rFonts w:ascii="Arial" w:hAnsi="Arial" w:cs="Arial"/>
          <w:sz w:val="24"/>
          <w:szCs w:val="24"/>
        </w:rPr>
        <w:t xml:space="preserve"> higher percentage of </w:t>
      </w:r>
      <w:r w:rsidR="00333404">
        <w:rPr>
          <w:rFonts w:ascii="Arial" w:hAnsi="Arial" w:cs="Arial"/>
          <w:sz w:val="24"/>
          <w:szCs w:val="24"/>
        </w:rPr>
        <w:t xml:space="preserve">completers in “Light Blue” </w:t>
      </w:r>
      <w:r w:rsidR="00564FB5">
        <w:rPr>
          <w:rFonts w:ascii="Arial" w:hAnsi="Arial" w:cs="Arial"/>
          <w:sz w:val="24"/>
          <w:szCs w:val="24"/>
        </w:rPr>
        <w:t>Category</w:t>
      </w:r>
      <w:r w:rsidR="00333404">
        <w:rPr>
          <w:rFonts w:ascii="Arial" w:hAnsi="Arial" w:cs="Arial"/>
          <w:sz w:val="24"/>
          <w:szCs w:val="24"/>
        </w:rPr>
        <w:t xml:space="preserve"> </w:t>
      </w:r>
      <w:r w:rsidR="00277965">
        <w:rPr>
          <w:rFonts w:ascii="Arial" w:hAnsi="Arial" w:cs="Arial"/>
          <w:sz w:val="24"/>
          <w:szCs w:val="24"/>
        </w:rPr>
        <w:t xml:space="preserve">(15% versus 13%) </w:t>
      </w:r>
      <w:r w:rsidR="00333404">
        <w:rPr>
          <w:rFonts w:ascii="Arial" w:hAnsi="Arial" w:cs="Arial"/>
          <w:sz w:val="24"/>
          <w:szCs w:val="24"/>
        </w:rPr>
        <w:t xml:space="preserve">and lower percentage in the </w:t>
      </w:r>
      <w:r w:rsidR="00564FB5">
        <w:rPr>
          <w:rFonts w:ascii="Arial" w:hAnsi="Arial" w:cs="Arial"/>
          <w:sz w:val="24"/>
          <w:szCs w:val="24"/>
        </w:rPr>
        <w:t>“Yellow” category</w:t>
      </w:r>
      <w:r w:rsidR="00277965">
        <w:rPr>
          <w:rFonts w:ascii="Arial" w:hAnsi="Arial" w:cs="Arial"/>
          <w:sz w:val="24"/>
          <w:szCs w:val="24"/>
        </w:rPr>
        <w:t xml:space="preserve"> (</w:t>
      </w:r>
      <w:r w:rsidR="006765C3">
        <w:rPr>
          <w:rFonts w:ascii="Arial" w:hAnsi="Arial" w:cs="Arial"/>
          <w:sz w:val="24"/>
          <w:szCs w:val="24"/>
        </w:rPr>
        <w:t>20% versus 22%)</w:t>
      </w:r>
      <w:r w:rsidR="006912CD" w:rsidRPr="0000669A">
        <w:rPr>
          <w:rFonts w:ascii="Arial" w:hAnsi="Arial" w:cs="Arial"/>
          <w:sz w:val="24"/>
          <w:szCs w:val="24"/>
        </w:rPr>
        <w:t>.</w:t>
      </w:r>
      <w:r w:rsidR="008402B6" w:rsidRPr="0000669A">
        <w:rPr>
          <w:sz w:val="24"/>
          <w:szCs w:val="24"/>
        </w:rPr>
        <w:t xml:space="preserve"> </w:t>
      </w:r>
    </w:p>
    <w:p w14:paraId="37A8D22B" w14:textId="77777777" w:rsidR="00C75D6E" w:rsidRDefault="00C75D6E" w:rsidP="006912CD">
      <w:pPr>
        <w:rPr>
          <w:rFonts w:ascii="Arial" w:hAnsi="Arial" w:cs="Arial"/>
          <w:b/>
          <w:sz w:val="28"/>
          <w:szCs w:val="28"/>
        </w:rPr>
      </w:pPr>
    </w:p>
    <w:p w14:paraId="547A6EC9" w14:textId="3E8C7DAD" w:rsidR="00332CF1" w:rsidRDefault="00332CF1" w:rsidP="00332C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1</w:t>
      </w:r>
      <w:r w:rsidR="0000669A">
        <w:rPr>
          <w:rFonts w:ascii="Arial" w:hAnsi="Arial" w:cs="Arial"/>
          <w:b/>
          <w:bCs/>
        </w:rPr>
        <w:t xml:space="preserve">: </w:t>
      </w:r>
      <w:r w:rsidR="00A61D4A">
        <w:rPr>
          <w:rFonts w:ascii="Arial" w:hAnsi="Arial" w:cs="Arial"/>
          <w:b/>
          <w:bCs/>
        </w:rPr>
        <w:t>Completer</w:t>
      </w:r>
      <w:r w:rsidR="00981411" w:rsidRPr="00113A64">
        <w:rPr>
          <w:rFonts w:ascii="Arial" w:hAnsi="Arial" w:cs="Arial"/>
          <w:b/>
          <w:bCs/>
        </w:rPr>
        <w:t xml:space="preserve"> </w:t>
      </w:r>
      <w:r w:rsidR="00113A64" w:rsidRPr="00113A64">
        <w:rPr>
          <w:rFonts w:ascii="Arial" w:hAnsi="Arial" w:cs="Arial"/>
          <w:b/>
          <w:bCs/>
        </w:rPr>
        <w:t>Value</w:t>
      </w:r>
      <w:r w:rsidR="00A676BF">
        <w:rPr>
          <w:rFonts w:ascii="Arial" w:hAnsi="Arial" w:cs="Arial"/>
          <w:b/>
          <w:bCs/>
        </w:rPr>
        <w:t>-</w:t>
      </w:r>
      <w:r w:rsidR="00113A64" w:rsidRPr="00113A64">
        <w:rPr>
          <w:rFonts w:ascii="Arial" w:hAnsi="Arial" w:cs="Arial"/>
          <w:b/>
          <w:bCs/>
        </w:rPr>
        <w:t xml:space="preserve">Added </w:t>
      </w:r>
      <w:r w:rsidR="00981411" w:rsidRPr="00113A64">
        <w:rPr>
          <w:rFonts w:ascii="Arial" w:hAnsi="Arial" w:cs="Arial"/>
          <w:b/>
          <w:bCs/>
        </w:rPr>
        <w:t>Data</w:t>
      </w:r>
      <w:r w:rsidR="00113A64" w:rsidRPr="00113A64">
        <w:rPr>
          <w:rFonts w:ascii="Arial" w:hAnsi="Arial" w:cs="Arial"/>
          <w:b/>
          <w:bCs/>
        </w:rPr>
        <w:t xml:space="preserve"> in Comparison with </w:t>
      </w:r>
      <w:r w:rsidR="00115777">
        <w:rPr>
          <w:rFonts w:ascii="Arial" w:hAnsi="Arial" w:cs="Arial"/>
          <w:b/>
          <w:bCs/>
        </w:rPr>
        <w:t>a Benchmark</w:t>
      </w:r>
      <w:r w:rsidR="0000669A">
        <w:rPr>
          <w:rFonts w:ascii="Arial" w:hAnsi="Arial" w:cs="Arial"/>
          <w:b/>
          <w:bCs/>
        </w:rPr>
        <w:t xml:space="preserve"> EPP</w:t>
      </w:r>
    </w:p>
    <w:p w14:paraId="09841235" w14:textId="77777777" w:rsidR="00DD69D7" w:rsidRDefault="00DD69D7" w:rsidP="00332CF1">
      <w:pPr>
        <w:rPr>
          <w:rFonts w:ascii="Arial" w:hAnsi="Arial" w:cs="Arial"/>
          <w:b/>
          <w:bCs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706"/>
        <w:gridCol w:w="584"/>
        <w:gridCol w:w="1291"/>
        <w:gridCol w:w="1014"/>
        <w:gridCol w:w="1170"/>
        <w:gridCol w:w="1080"/>
        <w:gridCol w:w="1260"/>
        <w:gridCol w:w="1080"/>
        <w:gridCol w:w="1620"/>
      </w:tblGrid>
      <w:tr w:rsidR="0017611A" w14:paraId="24500D0C" w14:textId="63509EAC" w:rsidTr="00480D1F">
        <w:tc>
          <w:tcPr>
            <w:tcW w:w="2581" w:type="dxa"/>
            <w:gridSpan w:val="3"/>
          </w:tcPr>
          <w:p w14:paraId="37BCB42A" w14:textId="48D379D4" w:rsidR="0017611A" w:rsidRDefault="0017611A" w:rsidP="00E07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77AD">
              <w:rPr>
                <w:rFonts w:ascii="Arial" w:hAnsi="Arial" w:cs="Arial"/>
                <w:b/>
                <w:bCs/>
              </w:rPr>
              <w:t>Teachers with Value-added Data</w:t>
            </w:r>
          </w:p>
        </w:tc>
        <w:tc>
          <w:tcPr>
            <w:tcW w:w="2184" w:type="dxa"/>
            <w:gridSpan w:val="2"/>
          </w:tcPr>
          <w:p w14:paraId="5CEC1D7C" w14:textId="14DAF878" w:rsidR="0017611A" w:rsidRDefault="0017611A" w:rsidP="00E07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2"/>
          </w:tcPr>
          <w:p w14:paraId="7845F43F" w14:textId="60586D01" w:rsidR="0017611A" w:rsidRDefault="0017611A" w:rsidP="00E07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14:paraId="49A11C0F" w14:textId="4F234D82" w:rsidR="0017611A" w:rsidRDefault="0017611A" w:rsidP="00E07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F0D77" w14:paraId="494A21AC" w14:textId="77777777" w:rsidTr="00480D1F">
        <w:tc>
          <w:tcPr>
            <w:tcW w:w="2581" w:type="dxa"/>
            <w:gridSpan w:val="3"/>
          </w:tcPr>
          <w:p w14:paraId="11FA380F" w14:textId="634E32E0" w:rsidR="00EF0D77" w:rsidRPr="0041453E" w:rsidRDefault="00701900" w:rsidP="00E07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53E">
              <w:rPr>
                <w:rFonts w:ascii="Arial" w:hAnsi="Arial" w:cs="Arial"/>
                <w:b/>
                <w:bCs/>
                <w:sz w:val="18"/>
                <w:szCs w:val="18"/>
              </w:rPr>
              <w:t>Initial Licensure Effective Years 2018, 19, 20, 21</w:t>
            </w:r>
          </w:p>
        </w:tc>
        <w:tc>
          <w:tcPr>
            <w:tcW w:w="2184" w:type="dxa"/>
            <w:gridSpan w:val="2"/>
          </w:tcPr>
          <w:p w14:paraId="4745411C" w14:textId="2F7AD9A7" w:rsidR="00EF0D77" w:rsidRDefault="0041453E" w:rsidP="00E07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Yellow</w:t>
            </w:r>
          </w:p>
        </w:tc>
        <w:tc>
          <w:tcPr>
            <w:tcW w:w="2340" w:type="dxa"/>
            <w:gridSpan w:val="2"/>
          </w:tcPr>
          <w:p w14:paraId="46DFA8B6" w14:textId="3B5A9827" w:rsidR="00EF0D77" w:rsidRDefault="0041453E" w:rsidP="00E07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Green</w:t>
            </w:r>
          </w:p>
        </w:tc>
        <w:tc>
          <w:tcPr>
            <w:tcW w:w="2700" w:type="dxa"/>
            <w:gridSpan w:val="2"/>
          </w:tcPr>
          <w:p w14:paraId="0D582A48" w14:textId="18615377" w:rsidR="00EF0D77" w:rsidRDefault="0041453E" w:rsidP="00E07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Light Blue</w:t>
            </w:r>
          </w:p>
        </w:tc>
      </w:tr>
      <w:tr w:rsidR="000E5016" w14:paraId="16291287" w14:textId="77777777" w:rsidTr="00480D1F">
        <w:tc>
          <w:tcPr>
            <w:tcW w:w="706" w:type="dxa"/>
          </w:tcPr>
          <w:p w14:paraId="544E1712" w14:textId="77777777" w:rsidR="000E5016" w:rsidRDefault="000E5016" w:rsidP="00B102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4" w:type="dxa"/>
          </w:tcPr>
          <w:p w14:paraId="52D7F7A3" w14:textId="16EAA9C2" w:rsidR="000E5016" w:rsidRDefault="000E5016" w:rsidP="00B102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UA</w:t>
            </w:r>
          </w:p>
        </w:tc>
        <w:tc>
          <w:tcPr>
            <w:tcW w:w="1291" w:type="dxa"/>
          </w:tcPr>
          <w:p w14:paraId="424409D9" w14:textId="4CD43A04" w:rsidR="000E5016" w:rsidRPr="0017611A" w:rsidRDefault="000E5016" w:rsidP="00B1023B">
            <w:pPr>
              <w:rPr>
                <w:rFonts w:cstheme="minorHAnsi"/>
                <w:b/>
                <w:bCs/>
              </w:rPr>
            </w:pPr>
            <w:r w:rsidRPr="0017611A">
              <w:rPr>
                <w:rFonts w:cstheme="minorHAnsi"/>
                <w:b/>
                <w:bCs/>
              </w:rPr>
              <w:t>State</w:t>
            </w:r>
          </w:p>
        </w:tc>
        <w:tc>
          <w:tcPr>
            <w:tcW w:w="1014" w:type="dxa"/>
          </w:tcPr>
          <w:p w14:paraId="473A974F" w14:textId="399077C5" w:rsidR="000E5016" w:rsidRPr="0017611A" w:rsidRDefault="000E5016" w:rsidP="00B1023B">
            <w:pPr>
              <w:rPr>
                <w:rFonts w:cstheme="minorHAnsi"/>
                <w:b/>
                <w:bCs/>
              </w:rPr>
            </w:pPr>
            <w:r w:rsidRPr="0017611A">
              <w:rPr>
                <w:b/>
                <w:bCs/>
              </w:rPr>
              <w:t>UA</w:t>
            </w:r>
          </w:p>
        </w:tc>
        <w:tc>
          <w:tcPr>
            <w:tcW w:w="1170" w:type="dxa"/>
          </w:tcPr>
          <w:p w14:paraId="2DCB847F" w14:textId="6BFC0486" w:rsidR="000E5016" w:rsidRPr="0017611A" w:rsidRDefault="000E5016" w:rsidP="00B1023B">
            <w:pPr>
              <w:rPr>
                <w:rFonts w:cstheme="minorHAnsi"/>
                <w:b/>
                <w:bCs/>
              </w:rPr>
            </w:pPr>
            <w:r w:rsidRPr="0017611A">
              <w:rPr>
                <w:b/>
                <w:bCs/>
              </w:rPr>
              <w:t>State</w:t>
            </w:r>
          </w:p>
        </w:tc>
        <w:tc>
          <w:tcPr>
            <w:tcW w:w="1080" w:type="dxa"/>
          </w:tcPr>
          <w:p w14:paraId="73A6CAF5" w14:textId="332BFFB7" w:rsidR="000E5016" w:rsidRPr="0017611A" w:rsidRDefault="000E5016" w:rsidP="00B1023B">
            <w:pPr>
              <w:rPr>
                <w:rFonts w:cstheme="minorHAnsi"/>
                <w:b/>
                <w:bCs/>
              </w:rPr>
            </w:pPr>
            <w:r w:rsidRPr="0017611A">
              <w:rPr>
                <w:b/>
                <w:bCs/>
              </w:rPr>
              <w:t>UA</w:t>
            </w:r>
          </w:p>
        </w:tc>
        <w:tc>
          <w:tcPr>
            <w:tcW w:w="1260" w:type="dxa"/>
          </w:tcPr>
          <w:p w14:paraId="60C51C80" w14:textId="5698091C" w:rsidR="000E5016" w:rsidRPr="0017611A" w:rsidRDefault="000E5016" w:rsidP="00B1023B">
            <w:pPr>
              <w:rPr>
                <w:rFonts w:cstheme="minorHAnsi"/>
                <w:b/>
                <w:bCs/>
              </w:rPr>
            </w:pPr>
            <w:r w:rsidRPr="0017611A">
              <w:rPr>
                <w:b/>
                <w:bCs/>
              </w:rPr>
              <w:t>State</w:t>
            </w:r>
          </w:p>
        </w:tc>
        <w:tc>
          <w:tcPr>
            <w:tcW w:w="1080" w:type="dxa"/>
          </w:tcPr>
          <w:p w14:paraId="04E35250" w14:textId="31DA1991" w:rsidR="000E5016" w:rsidRPr="0017611A" w:rsidRDefault="000E5016" w:rsidP="00B1023B">
            <w:pPr>
              <w:rPr>
                <w:rFonts w:cstheme="minorHAnsi"/>
                <w:b/>
                <w:bCs/>
              </w:rPr>
            </w:pPr>
            <w:r w:rsidRPr="0017611A">
              <w:rPr>
                <w:b/>
                <w:bCs/>
              </w:rPr>
              <w:t>UA</w:t>
            </w:r>
          </w:p>
        </w:tc>
        <w:tc>
          <w:tcPr>
            <w:tcW w:w="1620" w:type="dxa"/>
          </w:tcPr>
          <w:p w14:paraId="1FD98B8D" w14:textId="1D2CBA1F" w:rsidR="000E5016" w:rsidRPr="0017611A" w:rsidRDefault="000E5016" w:rsidP="00B1023B">
            <w:pPr>
              <w:rPr>
                <w:rFonts w:cstheme="minorHAnsi"/>
                <w:b/>
                <w:bCs/>
              </w:rPr>
            </w:pPr>
            <w:r w:rsidRPr="0017611A">
              <w:rPr>
                <w:b/>
                <w:bCs/>
              </w:rPr>
              <w:t>State</w:t>
            </w:r>
          </w:p>
        </w:tc>
      </w:tr>
      <w:tr w:rsidR="000E5016" w14:paraId="7C57FBB4" w14:textId="77777777" w:rsidTr="00480D1F">
        <w:tc>
          <w:tcPr>
            <w:tcW w:w="706" w:type="dxa"/>
          </w:tcPr>
          <w:p w14:paraId="31A5BBF2" w14:textId="2010E5DA" w:rsidR="000E5016" w:rsidRDefault="000E5016" w:rsidP="008E4E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584" w:type="dxa"/>
          </w:tcPr>
          <w:p w14:paraId="3E280F14" w14:textId="2F298760" w:rsidR="000E5016" w:rsidRDefault="000E5016" w:rsidP="008E4E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1291" w:type="dxa"/>
          </w:tcPr>
          <w:p w14:paraId="21D735C7" w14:textId="01273297" w:rsidR="000E5016" w:rsidRPr="0017611A" w:rsidRDefault="000E5016" w:rsidP="008E4E82">
            <w:pPr>
              <w:rPr>
                <w:rFonts w:cstheme="minorHAnsi"/>
                <w:b/>
                <w:bCs/>
              </w:rPr>
            </w:pPr>
            <w:r w:rsidRPr="0017611A">
              <w:rPr>
                <w:rFonts w:cstheme="minorHAnsi"/>
                <w:b/>
                <w:bCs/>
              </w:rPr>
              <w:t>2824</w:t>
            </w:r>
          </w:p>
        </w:tc>
        <w:tc>
          <w:tcPr>
            <w:tcW w:w="1014" w:type="dxa"/>
          </w:tcPr>
          <w:p w14:paraId="5836E005" w14:textId="70F3B7BB" w:rsidR="000E5016" w:rsidRPr="0017611A" w:rsidRDefault="00495B43" w:rsidP="008E4E82">
            <w:pPr>
              <w:rPr>
                <w:rFonts w:cstheme="minorHAnsi"/>
                <w:b/>
                <w:bCs/>
              </w:rPr>
            </w:pPr>
            <w:r w:rsidRPr="0017611A">
              <w:rPr>
                <w:rFonts w:cstheme="minorHAnsi"/>
                <w:b/>
                <w:bCs/>
              </w:rPr>
              <w:t>18</w:t>
            </w:r>
            <w:r w:rsidR="000E5016" w:rsidRPr="0017611A">
              <w:rPr>
                <w:rFonts w:cstheme="minorHAnsi"/>
                <w:b/>
                <w:bCs/>
              </w:rPr>
              <w:t xml:space="preserve"> (</w:t>
            </w:r>
            <w:r w:rsidR="009222D6" w:rsidRPr="0017611A">
              <w:rPr>
                <w:rFonts w:cstheme="minorHAnsi"/>
                <w:b/>
                <w:bCs/>
              </w:rPr>
              <w:t>20</w:t>
            </w:r>
            <w:r w:rsidR="000E5016" w:rsidRPr="0017611A">
              <w:rPr>
                <w:rFonts w:cstheme="minorHAnsi"/>
                <w:b/>
                <w:bCs/>
              </w:rPr>
              <w:t>%</w:t>
            </w:r>
            <w:r w:rsidR="009222D6" w:rsidRPr="0017611A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170" w:type="dxa"/>
          </w:tcPr>
          <w:p w14:paraId="4C3CF9A8" w14:textId="61C36832" w:rsidR="000E5016" w:rsidRPr="0017611A" w:rsidRDefault="00864160" w:rsidP="008E4E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632</w:t>
            </w:r>
            <w:r w:rsidR="000E5016" w:rsidRPr="0017611A">
              <w:rPr>
                <w:rFonts w:cstheme="minorHAnsi"/>
                <w:b/>
                <w:bCs/>
              </w:rPr>
              <w:t xml:space="preserve"> (</w:t>
            </w:r>
            <w:r>
              <w:rPr>
                <w:rFonts w:cstheme="minorHAnsi"/>
                <w:b/>
                <w:bCs/>
              </w:rPr>
              <w:t>22</w:t>
            </w:r>
            <w:r w:rsidR="000E5016" w:rsidRPr="0017611A">
              <w:rPr>
                <w:rFonts w:cstheme="minorHAnsi"/>
                <w:b/>
                <w:bCs/>
              </w:rPr>
              <w:t>%)</w:t>
            </w:r>
          </w:p>
        </w:tc>
        <w:tc>
          <w:tcPr>
            <w:tcW w:w="1080" w:type="dxa"/>
          </w:tcPr>
          <w:p w14:paraId="5A4273B4" w14:textId="5E9376EB" w:rsidR="000E5016" w:rsidRPr="0017611A" w:rsidRDefault="000E5016" w:rsidP="008E4E82">
            <w:pPr>
              <w:rPr>
                <w:rFonts w:cstheme="minorHAnsi"/>
                <w:b/>
                <w:bCs/>
              </w:rPr>
            </w:pPr>
            <w:r w:rsidRPr="0017611A">
              <w:rPr>
                <w:rFonts w:cstheme="minorHAnsi"/>
                <w:b/>
                <w:bCs/>
              </w:rPr>
              <w:t>57 (65%)</w:t>
            </w:r>
          </w:p>
        </w:tc>
        <w:tc>
          <w:tcPr>
            <w:tcW w:w="1260" w:type="dxa"/>
          </w:tcPr>
          <w:p w14:paraId="425D99C8" w14:textId="1AF10A50" w:rsidR="000E5016" w:rsidRPr="0017611A" w:rsidRDefault="000E5016" w:rsidP="008E4E82">
            <w:pPr>
              <w:rPr>
                <w:rFonts w:cstheme="minorHAnsi"/>
                <w:b/>
                <w:bCs/>
              </w:rPr>
            </w:pPr>
            <w:r w:rsidRPr="0017611A">
              <w:rPr>
                <w:rFonts w:cstheme="minorHAnsi"/>
                <w:b/>
                <w:bCs/>
              </w:rPr>
              <w:t>1834 (65%)</w:t>
            </w:r>
          </w:p>
        </w:tc>
        <w:tc>
          <w:tcPr>
            <w:tcW w:w="1080" w:type="dxa"/>
          </w:tcPr>
          <w:p w14:paraId="1BE15BE2" w14:textId="39925C4E" w:rsidR="000E5016" w:rsidRPr="0017611A" w:rsidRDefault="009222D6" w:rsidP="008E4E82">
            <w:pPr>
              <w:rPr>
                <w:rFonts w:cstheme="minorHAnsi"/>
                <w:b/>
                <w:bCs/>
              </w:rPr>
            </w:pPr>
            <w:r w:rsidRPr="0017611A">
              <w:rPr>
                <w:rFonts w:cstheme="minorHAnsi"/>
                <w:b/>
                <w:bCs/>
              </w:rPr>
              <w:t>13 (15%)</w:t>
            </w:r>
          </w:p>
        </w:tc>
        <w:tc>
          <w:tcPr>
            <w:tcW w:w="1620" w:type="dxa"/>
          </w:tcPr>
          <w:p w14:paraId="2F8EB8DB" w14:textId="4983B37C" w:rsidR="000E5016" w:rsidRPr="0017611A" w:rsidRDefault="00480D1F" w:rsidP="008E4E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358 (13%)</w:t>
            </w:r>
          </w:p>
        </w:tc>
      </w:tr>
    </w:tbl>
    <w:p w14:paraId="69D16F8B" w14:textId="3903FFB2" w:rsidR="00DD69D7" w:rsidRDefault="00480D1F" w:rsidP="00332C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Yellow=</w:t>
      </w:r>
      <w:r w:rsidR="00592741">
        <w:rPr>
          <w:rFonts w:ascii="Arial" w:hAnsi="Arial" w:cs="Arial"/>
          <w:b/>
          <w:bCs/>
        </w:rPr>
        <w:t>Below Expectation</w:t>
      </w:r>
    </w:p>
    <w:p w14:paraId="7EFF8A35" w14:textId="24CF8FD6" w:rsidR="00DD69D7" w:rsidRDefault="00480D1F" w:rsidP="00332C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Green=</w:t>
      </w:r>
      <w:r w:rsidR="003D086E">
        <w:rPr>
          <w:rFonts w:ascii="Arial" w:hAnsi="Arial" w:cs="Arial"/>
          <w:b/>
          <w:bCs/>
        </w:rPr>
        <w:t>Meet Expectation</w:t>
      </w:r>
    </w:p>
    <w:p w14:paraId="6A8179D7" w14:textId="0887647C" w:rsidR="00480D1F" w:rsidRDefault="00480D1F" w:rsidP="00332C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Light Blue=</w:t>
      </w:r>
      <w:r w:rsidR="003D086E">
        <w:rPr>
          <w:rFonts w:ascii="Arial" w:hAnsi="Arial" w:cs="Arial"/>
          <w:b/>
          <w:bCs/>
        </w:rPr>
        <w:t>Exceeded Expectations</w:t>
      </w:r>
    </w:p>
    <w:sectPr w:rsidR="00480D1F" w:rsidSect="00557409">
      <w:headerReference w:type="default" r:id="rId7"/>
      <w:pgSz w:w="15840" w:h="12240" w:orient="landscape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3B02" w14:textId="77777777" w:rsidR="004B3397" w:rsidRDefault="004B3397" w:rsidP="00BE46C7">
      <w:r>
        <w:separator/>
      </w:r>
    </w:p>
  </w:endnote>
  <w:endnote w:type="continuationSeparator" w:id="0">
    <w:p w14:paraId="51E70999" w14:textId="77777777" w:rsidR="004B3397" w:rsidRDefault="004B3397" w:rsidP="00BE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9D0E" w14:textId="77777777" w:rsidR="004B3397" w:rsidRDefault="004B3397" w:rsidP="00BE46C7">
      <w:r>
        <w:separator/>
      </w:r>
    </w:p>
  </w:footnote>
  <w:footnote w:type="continuationSeparator" w:id="0">
    <w:p w14:paraId="5D27530D" w14:textId="77777777" w:rsidR="004B3397" w:rsidRDefault="004B3397" w:rsidP="00BE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9300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BAB5DC" w14:textId="1B2DBE69" w:rsidR="00A475B4" w:rsidRDefault="00A475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2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DFBED2" w14:textId="77777777" w:rsidR="00A475B4" w:rsidRDefault="00A47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5EC1"/>
    <w:multiLevelType w:val="hybridMultilevel"/>
    <w:tmpl w:val="91063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28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31"/>
    <w:rsid w:val="000000E8"/>
    <w:rsid w:val="0000249C"/>
    <w:rsid w:val="0000669A"/>
    <w:rsid w:val="00016AB1"/>
    <w:rsid w:val="00047817"/>
    <w:rsid w:val="00057C86"/>
    <w:rsid w:val="00061F16"/>
    <w:rsid w:val="00087508"/>
    <w:rsid w:val="00096081"/>
    <w:rsid w:val="000A20AA"/>
    <w:rsid w:val="000B12BB"/>
    <w:rsid w:val="000B36CF"/>
    <w:rsid w:val="000D64D4"/>
    <w:rsid w:val="000E5016"/>
    <w:rsid w:val="000F0CED"/>
    <w:rsid w:val="00104D61"/>
    <w:rsid w:val="00113A64"/>
    <w:rsid w:val="00115777"/>
    <w:rsid w:val="00130BAE"/>
    <w:rsid w:val="00145D67"/>
    <w:rsid w:val="00154150"/>
    <w:rsid w:val="00156033"/>
    <w:rsid w:val="00156D41"/>
    <w:rsid w:val="00175742"/>
    <w:rsid w:val="0017611A"/>
    <w:rsid w:val="001A5202"/>
    <w:rsid w:val="001A5AB3"/>
    <w:rsid w:val="001C4E20"/>
    <w:rsid w:val="00202A63"/>
    <w:rsid w:val="0021326F"/>
    <w:rsid w:val="00222758"/>
    <w:rsid w:val="00226E22"/>
    <w:rsid w:val="002352B6"/>
    <w:rsid w:val="0024115E"/>
    <w:rsid w:val="00243C46"/>
    <w:rsid w:val="00243ED3"/>
    <w:rsid w:val="00250200"/>
    <w:rsid w:val="00257E63"/>
    <w:rsid w:val="002601FE"/>
    <w:rsid w:val="00277965"/>
    <w:rsid w:val="00292FDF"/>
    <w:rsid w:val="00296074"/>
    <w:rsid w:val="00297C24"/>
    <w:rsid w:val="002A2C48"/>
    <w:rsid w:val="002C47A6"/>
    <w:rsid w:val="002D7981"/>
    <w:rsid w:val="002F3422"/>
    <w:rsid w:val="002F3906"/>
    <w:rsid w:val="003070D5"/>
    <w:rsid w:val="003310FB"/>
    <w:rsid w:val="00332CF1"/>
    <w:rsid w:val="00333404"/>
    <w:rsid w:val="003760CA"/>
    <w:rsid w:val="003947C3"/>
    <w:rsid w:val="003B15EF"/>
    <w:rsid w:val="003D086E"/>
    <w:rsid w:val="003E7BDB"/>
    <w:rsid w:val="0041453E"/>
    <w:rsid w:val="0042620E"/>
    <w:rsid w:val="00435F2C"/>
    <w:rsid w:val="004467BD"/>
    <w:rsid w:val="00461578"/>
    <w:rsid w:val="00462599"/>
    <w:rsid w:val="00480D1F"/>
    <w:rsid w:val="00484D3C"/>
    <w:rsid w:val="00495B43"/>
    <w:rsid w:val="004B3397"/>
    <w:rsid w:val="004C6732"/>
    <w:rsid w:val="004E1608"/>
    <w:rsid w:val="004F72A9"/>
    <w:rsid w:val="00510381"/>
    <w:rsid w:val="00510924"/>
    <w:rsid w:val="00514577"/>
    <w:rsid w:val="005414D9"/>
    <w:rsid w:val="005442CF"/>
    <w:rsid w:val="00557409"/>
    <w:rsid w:val="005607EC"/>
    <w:rsid w:val="00563DC2"/>
    <w:rsid w:val="00564FB5"/>
    <w:rsid w:val="00590121"/>
    <w:rsid w:val="00592741"/>
    <w:rsid w:val="005976F9"/>
    <w:rsid w:val="005B6C68"/>
    <w:rsid w:val="005D4276"/>
    <w:rsid w:val="005E35CF"/>
    <w:rsid w:val="005F4FBC"/>
    <w:rsid w:val="005F7964"/>
    <w:rsid w:val="005F7A64"/>
    <w:rsid w:val="0060076B"/>
    <w:rsid w:val="00604F6E"/>
    <w:rsid w:val="00612372"/>
    <w:rsid w:val="00624ADB"/>
    <w:rsid w:val="00636FD5"/>
    <w:rsid w:val="00637C82"/>
    <w:rsid w:val="00640E26"/>
    <w:rsid w:val="006425FD"/>
    <w:rsid w:val="00644506"/>
    <w:rsid w:val="0066080C"/>
    <w:rsid w:val="00662135"/>
    <w:rsid w:val="006713EA"/>
    <w:rsid w:val="006765C3"/>
    <w:rsid w:val="006827DB"/>
    <w:rsid w:val="006912CD"/>
    <w:rsid w:val="006949A1"/>
    <w:rsid w:val="006B3F0A"/>
    <w:rsid w:val="006C7507"/>
    <w:rsid w:val="006E435B"/>
    <w:rsid w:val="006E6118"/>
    <w:rsid w:val="00701900"/>
    <w:rsid w:val="00705BF7"/>
    <w:rsid w:val="0071199F"/>
    <w:rsid w:val="00720E11"/>
    <w:rsid w:val="00725A19"/>
    <w:rsid w:val="00726453"/>
    <w:rsid w:val="0072754D"/>
    <w:rsid w:val="00746801"/>
    <w:rsid w:val="00772E68"/>
    <w:rsid w:val="00782316"/>
    <w:rsid w:val="007825D9"/>
    <w:rsid w:val="007829F0"/>
    <w:rsid w:val="00785529"/>
    <w:rsid w:val="00793912"/>
    <w:rsid w:val="007B26C7"/>
    <w:rsid w:val="007B4304"/>
    <w:rsid w:val="007B689C"/>
    <w:rsid w:val="007E56C5"/>
    <w:rsid w:val="0081472B"/>
    <w:rsid w:val="008155EA"/>
    <w:rsid w:val="008241A9"/>
    <w:rsid w:val="00830A9A"/>
    <w:rsid w:val="00836B98"/>
    <w:rsid w:val="008402B6"/>
    <w:rsid w:val="00854AA5"/>
    <w:rsid w:val="008612E3"/>
    <w:rsid w:val="00864160"/>
    <w:rsid w:val="00870073"/>
    <w:rsid w:val="00885F0D"/>
    <w:rsid w:val="00895EBC"/>
    <w:rsid w:val="008A682F"/>
    <w:rsid w:val="008E4E82"/>
    <w:rsid w:val="008F2A08"/>
    <w:rsid w:val="008F79A8"/>
    <w:rsid w:val="009063C6"/>
    <w:rsid w:val="00907FFB"/>
    <w:rsid w:val="009222D6"/>
    <w:rsid w:val="00936095"/>
    <w:rsid w:val="00947093"/>
    <w:rsid w:val="0095257F"/>
    <w:rsid w:val="00962452"/>
    <w:rsid w:val="009739DB"/>
    <w:rsid w:val="009753D0"/>
    <w:rsid w:val="00981411"/>
    <w:rsid w:val="00982C72"/>
    <w:rsid w:val="009B7A6E"/>
    <w:rsid w:val="009D0091"/>
    <w:rsid w:val="009D4732"/>
    <w:rsid w:val="009F40AD"/>
    <w:rsid w:val="00A11620"/>
    <w:rsid w:val="00A16908"/>
    <w:rsid w:val="00A21EA0"/>
    <w:rsid w:val="00A3588C"/>
    <w:rsid w:val="00A3618F"/>
    <w:rsid w:val="00A46A31"/>
    <w:rsid w:val="00A475B4"/>
    <w:rsid w:val="00A541F9"/>
    <w:rsid w:val="00A54454"/>
    <w:rsid w:val="00A61D4A"/>
    <w:rsid w:val="00A66729"/>
    <w:rsid w:val="00A676BF"/>
    <w:rsid w:val="00A75301"/>
    <w:rsid w:val="00A83E50"/>
    <w:rsid w:val="00AA257C"/>
    <w:rsid w:val="00AA7FCC"/>
    <w:rsid w:val="00AB57ED"/>
    <w:rsid w:val="00AB5A5B"/>
    <w:rsid w:val="00AC020F"/>
    <w:rsid w:val="00AC4AF4"/>
    <w:rsid w:val="00AD0362"/>
    <w:rsid w:val="00AD092C"/>
    <w:rsid w:val="00AE3014"/>
    <w:rsid w:val="00AF373B"/>
    <w:rsid w:val="00AF3918"/>
    <w:rsid w:val="00B02082"/>
    <w:rsid w:val="00B068F4"/>
    <w:rsid w:val="00B1023B"/>
    <w:rsid w:val="00B16029"/>
    <w:rsid w:val="00B2183B"/>
    <w:rsid w:val="00B22789"/>
    <w:rsid w:val="00B63AC9"/>
    <w:rsid w:val="00B706DD"/>
    <w:rsid w:val="00B71606"/>
    <w:rsid w:val="00B93CB2"/>
    <w:rsid w:val="00B94D06"/>
    <w:rsid w:val="00BA374E"/>
    <w:rsid w:val="00BB542A"/>
    <w:rsid w:val="00BD2E7A"/>
    <w:rsid w:val="00BD41E8"/>
    <w:rsid w:val="00BE46C7"/>
    <w:rsid w:val="00C1410F"/>
    <w:rsid w:val="00C274B2"/>
    <w:rsid w:val="00C4088B"/>
    <w:rsid w:val="00C4425A"/>
    <w:rsid w:val="00C46B01"/>
    <w:rsid w:val="00C50CCE"/>
    <w:rsid w:val="00C622FB"/>
    <w:rsid w:val="00C6440B"/>
    <w:rsid w:val="00C75D6E"/>
    <w:rsid w:val="00C966ED"/>
    <w:rsid w:val="00CA052B"/>
    <w:rsid w:val="00CC52CA"/>
    <w:rsid w:val="00CE2897"/>
    <w:rsid w:val="00D121A0"/>
    <w:rsid w:val="00D265CD"/>
    <w:rsid w:val="00D27945"/>
    <w:rsid w:val="00D567C3"/>
    <w:rsid w:val="00D60B55"/>
    <w:rsid w:val="00D808EC"/>
    <w:rsid w:val="00D86A12"/>
    <w:rsid w:val="00D9468C"/>
    <w:rsid w:val="00DC09B7"/>
    <w:rsid w:val="00DD69D7"/>
    <w:rsid w:val="00DF3353"/>
    <w:rsid w:val="00E06DC9"/>
    <w:rsid w:val="00E077AD"/>
    <w:rsid w:val="00E07F05"/>
    <w:rsid w:val="00E22876"/>
    <w:rsid w:val="00E26242"/>
    <w:rsid w:val="00E32910"/>
    <w:rsid w:val="00E35295"/>
    <w:rsid w:val="00E51F45"/>
    <w:rsid w:val="00E52451"/>
    <w:rsid w:val="00E65980"/>
    <w:rsid w:val="00E67AA7"/>
    <w:rsid w:val="00E928D3"/>
    <w:rsid w:val="00E94ABC"/>
    <w:rsid w:val="00EB3838"/>
    <w:rsid w:val="00ED3547"/>
    <w:rsid w:val="00EE31FD"/>
    <w:rsid w:val="00EF0D77"/>
    <w:rsid w:val="00EF4074"/>
    <w:rsid w:val="00EF43FB"/>
    <w:rsid w:val="00F10622"/>
    <w:rsid w:val="00F346C8"/>
    <w:rsid w:val="00F42035"/>
    <w:rsid w:val="00F4556A"/>
    <w:rsid w:val="00F476E2"/>
    <w:rsid w:val="00F57771"/>
    <w:rsid w:val="00F63AEA"/>
    <w:rsid w:val="00F63C72"/>
    <w:rsid w:val="00F654CC"/>
    <w:rsid w:val="00F75EDB"/>
    <w:rsid w:val="00F830FE"/>
    <w:rsid w:val="00F9738B"/>
    <w:rsid w:val="00FA3D77"/>
    <w:rsid w:val="00FA40F8"/>
    <w:rsid w:val="00FB1B67"/>
    <w:rsid w:val="00FB2E65"/>
    <w:rsid w:val="00FB5180"/>
    <w:rsid w:val="00FB553F"/>
    <w:rsid w:val="00FC6841"/>
    <w:rsid w:val="00FD00E6"/>
    <w:rsid w:val="00FD77AD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D82E"/>
  <w15:docId w15:val="{6B9AA65A-9B86-4C89-8D78-350267F3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6C7"/>
  </w:style>
  <w:style w:type="paragraph" w:styleId="Footer">
    <w:name w:val="footer"/>
    <w:basedOn w:val="Normal"/>
    <w:link w:val="FooterChar"/>
    <w:uiPriority w:val="99"/>
    <w:unhideWhenUsed/>
    <w:rsid w:val="00BE4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6C7"/>
  </w:style>
  <w:style w:type="paragraph" w:styleId="BalloonText">
    <w:name w:val="Balloon Text"/>
    <w:basedOn w:val="Normal"/>
    <w:link w:val="BalloonTextChar"/>
    <w:uiPriority w:val="99"/>
    <w:semiHidden/>
    <w:unhideWhenUsed/>
    <w:rsid w:val="00A75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5D6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F3422"/>
    <w:pPr>
      <w:widowControl w:val="0"/>
      <w:autoSpaceDE w:val="0"/>
      <w:autoSpaceDN w:val="0"/>
      <w:spacing w:before="38"/>
      <w:jc w:val="center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A2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5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Herrington</dc:creator>
  <cp:lastModifiedBy>Xin Liang</cp:lastModifiedBy>
  <cp:revision>80</cp:revision>
  <cp:lastPrinted>2015-08-19T12:58:00Z</cp:lastPrinted>
  <dcterms:created xsi:type="dcterms:W3CDTF">2022-02-21T15:39:00Z</dcterms:created>
  <dcterms:modified xsi:type="dcterms:W3CDTF">2023-04-16T15:48:00Z</dcterms:modified>
</cp:coreProperties>
</file>